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widowControl w:val="0"/>
        <w:spacing w:after="0" w:lineRule="auto"/>
        <w:rPr/>
      </w:pPr>
      <w:bookmarkStart w:colFirst="0" w:colLast="0" w:name="_32few84pp9hd" w:id="0"/>
      <w:bookmarkEnd w:id="0"/>
      <w:r w:rsidDel="00000000" w:rsidR="00000000" w:rsidRPr="00000000">
        <w:rPr>
          <w:rtl w:val="0"/>
        </w:rPr>
        <w:t xml:space="preserve">Vedlegg 3 - Spesielle kontraktsvilkår NS 8402</w:t>
      </w:r>
    </w:p>
    <w:tbl>
      <w:tblPr>
        <w:tblStyle w:val="Table1"/>
        <w:tblW w:w="9322.0" w:type="dxa"/>
        <w:jc w:val="left"/>
        <w:tblLayout w:type="fixed"/>
        <w:tblLook w:val="04A0"/>
      </w:tblPr>
      <w:tblGrid>
        <w:gridCol w:w="9322"/>
        <w:tblGridChange w:id="0">
          <w:tblGrid>
            <w:gridCol w:w="9322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0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mallCaps w:val="0"/>
                <w:rtl w:val="0"/>
              </w:rPr>
              <w:t xml:space="preserve">Alminnelige kontraktsbestemmelser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rPr>
                <w:rFonts w:ascii="Calibri" w:cs="Calibri" w:eastAsia="Calibri" w:hAnsi="Calibri"/>
                <w:b w:val="0"/>
                <w:bCs w:val="0"/>
                <w:smallCaps w:val="0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rtl w:val="0"/>
              </w:rPr>
              <w:t xml:space="preserve">Norsk Standard NS 8402 "Alminnelige kontraktsbestemmelser for rådgivningsoppdrag honorert etter medgått tid" skal gjelde med endringer som nevnt nedenfor.</w:t>
            </w:r>
          </w:p>
          <w:p w:rsidR="00000000" w:rsidDel="00000000" w:rsidP="00000000" w:rsidRDefault="00000000" w:rsidRPr="00000000" w14:paraId="00000004">
            <w:pPr>
              <w:rPr>
                <w:rFonts w:ascii="Calibri" w:cs="Calibri" w:eastAsia="Calibri" w:hAnsi="Calibri"/>
                <w:b w:val="0"/>
                <w:bCs w:val="0"/>
                <w:smallCaps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rPr>
                <w:rFonts w:ascii="Calibri" w:cs="Calibri" w:eastAsia="Calibri" w:hAnsi="Calibri"/>
                <w:b w:val="0"/>
                <w:bCs w:val="0"/>
                <w:smallCaps w:val="0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rtl w:val="0"/>
              </w:rPr>
              <w:t xml:space="preserve">NS 8402 Pkt 3 Tillegg</w:t>
            </w:r>
          </w:p>
          <w:p w:rsidR="00000000" w:rsidDel="00000000" w:rsidP="00000000" w:rsidRDefault="00000000" w:rsidRPr="00000000" w14:paraId="00000006">
            <w:pPr>
              <w:rPr>
                <w:rFonts w:ascii="Calibri" w:cs="Calibri" w:eastAsia="Calibri" w:hAnsi="Calibri"/>
                <w:b w:val="0"/>
                <w:bCs w:val="0"/>
                <w:smallCaps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rPr>
                <w:rFonts w:ascii="Calibri" w:cs="Calibri" w:eastAsia="Calibri" w:hAnsi="Calibri"/>
                <w:b w:val="0"/>
                <w:bCs w:val="0"/>
                <w:smallCaps w:val="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sz w:val="22"/>
                <w:szCs w:val="22"/>
                <w:rtl w:val="0"/>
              </w:rPr>
              <w:t xml:space="preserve">Det er avtalt at følgende dokumenter er kontraktsdokumenter:</w:t>
            </w:r>
          </w:p>
          <w:p w:rsidR="00000000" w:rsidDel="00000000" w:rsidP="00000000" w:rsidRDefault="00000000" w:rsidRPr="00000000" w14:paraId="00000008">
            <w:pPr>
              <w:rPr>
                <w:rFonts w:ascii="Calibri" w:cs="Calibri" w:eastAsia="Calibri" w:hAnsi="Calibri"/>
                <w:b w:val="0"/>
                <w:bCs w:val="0"/>
                <w:smallCaps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rPr>
                <w:rFonts w:ascii="Calibri" w:cs="Calibri" w:eastAsia="Calibri" w:hAnsi="Calibri"/>
                <w:b w:val="0"/>
                <w:bCs w:val="0"/>
                <w:smallCaps w:val="0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rtl w:val="0"/>
              </w:rPr>
              <w:t xml:space="preserve">a) kontraktsforside</w:t>
            </w:r>
          </w:p>
          <w:p w:rsidR="00000000" w:rsidDel="00000000" w:rsidP="00000000" w:rsidRDefault="00000000" w:rsidRPr="00000000" w14:paraId="0000000A">
            <w:pPr>
              <w:rPr>
                <w:rFonts w:ascii="Calibri" w:cs="Calibri" w:eastAsia="Calibri" w:hAnsi="Calibri"/>
                <w:b w:val="0"/>
                <w:bCs w:val="0"/>
                <w:smallCaps w:val="0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rtl w:val="0"/>
              </w:rPr>
              <w:t xml:space="preserve">b) referat fra forhandlingsmøte</w:t>
            </w:r>
          </w:p>
          <w:p w:rsidR="00000000" w:rsidDel="00000000" w:rsidP="00000000" w:rsidRDefault="00000000" w:rsidRPr="00000000" w14:paraId="0000000B">
            <w:pPr>
              <w:rPr>
                <w:rFonts w:ascii="Calibri" w:cs="Calibri" w:eastAsia="Calibri" w:hAnsi="Calibri"/>
                <w:b w:val="0"/>
                <w:bCs w:val="0"/>
                <w:smallCaps w:val="0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rtl w:val="0"/>
              </w:rPr>
              <w:t xml:space="preserve">c) eventuelle skriftlige avklaringer og referat fra befaringer før tilbudet ble inngitt</w:t>
            </w:r>
          </w:p>
          <w:p w:rsidR="00000000" w:rsidDel="00000000" w:rsidP="00000000" w:rsidRDefault="00000000" w:rsidRPr="00000000" w14:paraId="0000000C">
            <w:pPr>
              <w:rPr>
                <w:rFonts w:ascii="Calibri" w:cs="Calibri" w:eastAsia="Calibri" w:hAnsi="Calibri"/>
                <w:b w:val="0"/>
                <w:bCs w:val="0"/>
                <w:smallCaps w:val="0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rtl w:val="0"/>
              </w:rPr>
              <w:t xml:space="preserve">f) konkurransegrunnlag</w:t>
            </w:r>
          </w:p>
          <w:p w:rsidR="00000000" w:rsidDel="00000000" w:rsidP="00000000" w:rsidRDefault="00000000" w:rsidRPr="00000000" w14:paraId="0000000D">
            <w:pPr>
              <w:rPr>
                <w:rFonts w:ascii="Calibri" w:cs="Calibri" w:eastAsia="Calibri" w:hAnsi="Calibri"/>
                <w:b w:val="0"/>
                <w:bCs w:val="0"/>
                <w:smallCaps w:val="0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rtl w:val="0"/>
              </w:rPr>
              <w:t xml:space="preserve">g) denne standard</w:t>
            </w:r>
          </w:p>
          <w:p w:rsidR="00000000" w:rsidDel="00000000" w:rsidP="00000000" w:rsidRDefault="00000000" w:rsidRPr="00000000" w14:paraId="0000000E">
            <w:pPr>
              <w:rPr>
                <w:rFonts w:ascii="Calibri" w:cs="Calibri" w:eastAsia="Calibri" w:hAnsi="Calibri"/>
                <w:b w:val="0"/>
                <w:bCs w:val="0"/>
                <w:smallCaps w:val="0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rtl w:val="0"/>
              </w:rPr>
              <w:t xml:space="preserve">h) leverandørens tilbud</w:t>
            </w:r>
          </w:p>
          <w:p w:rsidR="00000000" w:rsidDel="00000000" w:rsidP="00000000" w:rsidRDefault="00000000" w:rsidRPr="00000000" w14:paraId="0000000F">
            <w:pPr>
              <w:rPr>
                <w:rFonts w:ascii="Calibri" w:cs="Calibri" w:eastAsia="Calibri" w:hAnsi="Calibri"/>
              </w:rPr>
            </w:pPr>
            <w:bookmarkStart w:colFirst="0" w:colLast="0" w:name="_u0wr52n8otsa" w:id="1"/>
            <w:bookmarkEnd w:id="1"/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rtl w:val="0"/>
              </w:rPr>
              <w:t xml:space="preserve">Ved motstrid gjelder dokumentene i ovennevnte rekkefølge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mallCaps w:val="0"/>
                <w:rtl w:val="0"/>
              </w:rPr>
              <w:t xml:space="preserve">NS 8402 Pkt. 4.3.  – Utgår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>
                <w:rFonts w:ascii="Calibri" w:cs="Calibri" w:eastAsia="Calibri" w:hAnsi="Calibri"/>
                <w:b w:val="0"/>
                <w:bCs w:val="0"/>
                <w:smallCaps w:val="0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rtl w:val="0"/>
              </w:rPr>
              <w:t xml:space="preserve">Bruk av underrådgivere er ikke tillatt på denne kontrakten.  </w:t>
            </w:r>
          </w:p>
          <w:p w:rsidR="00000000" w:rsidDel="00000000" w:rsidP="00000000" w:rsidRDefault="00000000" w:rsidRPr="00000000" w14:paraId="00000013">
            <w:pPr>
              <w:rPr>
                <w:rFonts w:ascii="Calibri" w:cs="Calibri" w:eastAsia="Calibri" w:hAnsi="Calibri"/>
                <w:b w:val="0"/>
                <w:bCs w:val="0"/>
                <w:smallCaps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>
                <w:rFonts w:ascii="Calibri" w:cs="Calibri" w:eastAsia="Calibri" w:hAnsi="Calibri"/>
                <w:smallCaps w:val="0"/>
              </w:rPr>
            </w:pPr>
            <w:r w:rsidDel="00000000" w:rsidR="00000000" w:rsidRPr="00000000">
              <w:rPr>
                <w:rFonts w:ascii="Calibri" w:cs="Calibri" w:eastAsia="Calibri" w:hAnsi="Calibri"/>
                <w:smallCaps w:val="0"/>
                <w:rtl w:val="0"/>
              </w:rPr>
              <w:t xml:space="preserve">NS 8402 Pkt 5 - Endring</w:t>
            </w:r>
          </w:p>
          <w:p w:rsidR="00000000" w:rsidDel="00000000" w:rsidP="00000000" w:rsidRDefault="00000000" w:rsidRPr="00000000" w14:paraId="00000015">
            <w:pPr>
              <w:rPr>
                <w:rFonts w:ascii="Calibri" w:cs="Calibri" w:eastAsia="Calibri" w:hAnsi="Calibri"/>
                <w:b w:val="0"/>
                <w:bCs w:val="0"/>
                <w:smallCaps w:val="0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rtl w:val="0"/>
              </w:rPr>
              <w:t xml:space="preserve">All dokumentasjon  som leveres etter denne avtale blir oppdragsgiverens eiendom fra og med betalingstidspunktet. </w:t>
            </w:r>
          </w:p>
        </w:tc>
      </w:tr>
      <w:tr>
        <w:trPr>
          <w:cantSplit w:val="0"/>
          <w:tblHeader w:val="0"/>
        </w:trPr>
        <w:tc>
          <w:tcPr>
            <w:tcBorders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mallCaps w:val="0"/>
                <w:rtl w:val="0"/>
              </w:rPr>
              <w:t xml:space="preserve">NS 8402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smallCaps w:val="0"/>
                <w:rtl w:val="0"/>
              </w:rPr>
              <w:t xml:space="preserve">Pkt. 12.1.  – Endring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rtl w:val="0"/>
              </w:rPr>
              <w:t xml:space="preserve">Alle timepriser er faste i ett år etter kontraktsinngåelse. Dette gjelder uavhengig av antall rådgivere, stillingsprosent eller oppdragsmengde.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mallCaps w:val="0"/>
                <w:rtl w:val="0"/>
              </w:rPr>
              <w:t xml:space="preserve">NS 8402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smallCaps w:val="0"/>
                <w:rtl w:val="0"/>
              </w:rPr>
              <w:t xml:space="preserve">Pkt. 12.3.  – Tillegg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rtl w:val="0"/>
              </w:rPr>
              <w:t xml:space="preserve">Honorarbudsjett skal oversendes innen to uker etter inngått kontrakt. For hvert avrop skal det angis et honorarbudjett.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mallCaps w:val="0"/>
                <w:rtl w:val="0"/>
              </w:rPr>
              <w:t xml:space="preserve">NS 8402 Pkt 13 Endring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rtl w:val="0"/>
              </w:rPr>
              <w:t xml:space="preserve">Ingen utgifter vil honoreres utover det som er angitt i kontrakten.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55" w:hRule="atLeast"/>
          <w:tblHeader w:val="0"/>
        </w:trPr>
        <w:tc>
          <w:tcPr>
            <w:tcBorders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mallCaps w:val="0"/>
                <w:rtl w:val="0"/>
              </w:rPr>
              <w:t xml:space="preserve">NS 8402 Pkt 14.2. Endring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rtl w:val="0"/>
              </w:rPr>
              <w:t xml:space="preserve">Oppdragsgiver skal betale innen 30 dager etter mottatt faktura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mallCaps w:val="0"/>
                <w:rtl w:val="0"/>
              </w:rPr>
              <w:t xml:space="preserve">NS 8402 Pkt 14.6 - tillegg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tabs>
                <w:tab w:val="left" w:leader="none" w:pos="360"/>
              </w:tabs>
              <w:ind w:right="23"/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rtl w:val="0"/>
              </w:rPr>
              <w:t xml:space="preserve">Tilbyder skal tilby elektronisk faktura i ”Elektronisk handelsformat” (EHF–format 3.0)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tabs>
                <w:tab w:val="left" w:leader="none" w:pos="360"/>
              </w:tabs>
              <w:ind w:right="23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u w:val="single"/>
                <w:rtl w:val="0"/>
              </w:rPr>
              <w:t xml:space="preserve">Bestillernummer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rtl w:val="0"/>
              </w:rPr>
              <w:t xml:space="preserve">Bestillernummer legges i feltet for deres ref. Dette feltet er et obligatorisk felt i EHF standarden.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rtl w:val="0"/>
              </w:rPr>
              <w:t xml:space="preserve">Bestillernummer skal legges i “BuyerReference” etter EHF 3.0.  Se også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color w:val="222222"/>
                <w:highlight w:val="white"/>
                <w:rtl w:val="0"/>
              </w:rPr>
              <w:t xml:space="preserve"> </w:t>
            </w:r>
            <w:hyperlink r:id="rId6">
              <w:r w:rsidDel="00000000" w:rsidR="00000000" w:rsidRPr="00000000">
                <w:rPr>
                  <w:rFonts w:ascii="Calibri" w:cs="Calibri" w:eastAsia="Calibri" w:hAnsi="Calibri"/>
                  <w:b w:val="0"/>
                  <w:bCs w:val="0"/>
                  <w:smallCaps w:val="0"/>
                  <w:color w:val="1155cc"/>
                  <w:highlight w:val="white"/>
                  <w:u w:val="single"/>
                  <w:rtl w:val="0"/>
                </w:rPr>
                <w:t xml:space="preserve">https://docs.peppol.eu/poacc/billing/3.0/syntax/ubl-invoice/cbc-BuyerReference/</w:t>
              </w:r>
            </w:hyperlink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color w:val="222222"/>
                <w:highlight w:val="white"/>
                <w:u w:val="single"/>
                <w:rtl w:val="0"/>
              </w:rPr>
              <w:t xml:space="preserve"> - </w:t>
            </w:r>
            <w:hyperlink r:id="rId7">
              <w:r w:rsidDel="00000000" w:rsidR="00000000" w:rsidRPr="00000000">
                <w:rPr>
                  <w:rFonts w:ascii="Calibri" w:cs="Calibri" w:eastAsia="Calibri" w:hAnsi="Calibri"/>
                  <w:b w:val="0"/>
                  <w:bCs w:val="0"/>
                  <w:smallCaps w:val="0"/>
                  <w:color w:val="1155cc"/>
                  <w:highlight w:val="white"/>
                  <w:u w:val="single"/>
                  <w:rtl w:val="0"/>
                </w:rPr>
                <w:t xml:space="preserve">https://docs.peppol.eu/poacc/billing/3.0/syntax/ubl-invoice/cac-OrderReference/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rtl w:val="0"/>
              </w:rPr>
              <w:t xml:space="preserve">Larvik kommune bruker et 5 –sifret bestillernummer for at fakturaen skal gå automatisk til rette mottaker. Det må KUN stå vårt 5 – sifrede bestillernummer (ikke navn) for at fakturaen skal gå til rette mottaker i kommunen.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rtl w:val="0"/>
              </w:rPr>
              <w:t xml:space="preserve">Hvis behov for ytterligere referanse må leverandøren fylle inn et annet felt, eller som en ordrelinje. Det må da brukes de riktige felt for dette.  Se også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color w:val="222222"/>
                <w:highlight w:val="white"/>
                <w:rtl w:val="0"/>
              </w:rPr>
              <w:t xml:space="preserve">: </w:t>
            </w:r>
            <w:hyperlink r:id="rId8">
              <w:r w:rsidDel="00000000" w:rsidR="00000000" w:rsidRPr="00000000">
                <w:rPr>
                  <w:rFonts w:ascii="Calibri" w:cs="Calibri" w:eastAsia="Calibri" w:hAnsi="Calibri"/>
                  <w:b w:val="0"/>
                  <w:bCs w:val="0"/>
                  <w:smallCaps w:val="0"/>
                  <w:color w:val="1155cc"/>
                  <w:highlight w:val="white"/>
                  <w:u w:val="single"/>
                  <w:rtl w:val="0"/>
                </w:rPr>
                <w:t xml:space="preserve">https://docs.peppol.eu/poacc/billing/3.0/syntax/ubl-invoice/cbc-Note/</w:t>
              </w:r>
            </w:hyperlink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color w:val="222222"/>
                <w:highlight w:val="white"/>
                <w:rtl w:val="0"/>
              </w:rPr>
              <w:t xml:space="preserve"> -   </w:t>
            </w:r>
            <w:hyperlink r:id="rId9">
              <w:r w:rsidDel="00000000" w:rsidR="00000000" w:rsidRPr="00000000">
                <w:rPr>
                  <w:rFonts w:ascii="Calibri" w:cs="Calibri" w:eastAsia="Calibri" w:hAnsi="Calibri"/>
                  <w:b w:val="0"/>
                  <w:bCs w:val="0"/>
                  <w:smallCaps w:val="0"/>
                  <w:color w:val="1155cc"/>
                  <w:highlight w:val="white"/>
                  <w:u w:val="single"/>
                  <w:rtl w:val="0"/>
                </w:rPr>
                <w:t xml:space="preserve">https://docs.peppol.eu/poacc/billing/3.0/syntax/ubl-invoice/cac-InvoiceLine/cbc-Note/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u w:val="single"/>
                <w:rtl w:val="0"/>
              </w:rPr>
              <w:t xml:space="preserve">Artikkelnummer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rtl w:val="0"/>
              </w:rPr>
              <w:t xml:space="preserve">Alle varer og tjenester skal inn i EHF faktura xml og kan ikke legges ved i vedlegg.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rtl w:val="0"/>
              </w:rPr>
              <w:t xml:space="preserve">Sammen med fakturaene skal det følge: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rtl w:val="0"/>
              </w:rPr>
              <w:t xml:space="preserve">- timelister med kommentarer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rtl w:val="0"/>
              </w:rPr>
              <w:t xml:space="preserve">- tilbyders inngående faktura fra underleverandører, hvis aktuelt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rtl w:val="0"/>
              </w:rPr>
              <w:t xml:space="preserve">- vedlegg som viser materialforbruk og kostnad, hvis aktuelt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rtl w:val="0"/>
              </w:rPr>
              <w:t xml:space="preserve">Timer skal faktureres med egne unike artikkelnummer. Faktura skal også inneholde informasjon slik at det er mulig å se hvem som har utført arbeidet.  Andre prisbærende poster i prismatrisen, skal også faktureres med egne unike artikkelnumre. Tilbyders artikkelnumre skal angis i prisskjemaet.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rtl w:val="0"/>
              </w:rPr>
              <w:t xml:space="preserve">Artikkelnummer skal legges i “SellersItemIdentification” etter EHF 3.0. Se også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color w:val="222222"/>
                <w:highlight w:val="white"/>
                <w:rtl w:val="0"/>
              </w:rPr>
              <w:t xml:space="preserve"> </w:t>
            </w:r>
            <w:hyperlink r:id="rId10">
              <w:r w:rsidDel="00000000" w:rsidR="00000000" w:rsidRPr="00000000">
                <w:rPr>
                  <w:rFonts w:ascii="Calibri" w:cs="Calibri" w:eastAsia="Calibri" w:hAnsi="Calibri"/>
                  <w:b w:val="0"/>
                  <w:bCs w:val="0"/>
                  <w:smallCaps w:val="0"/>
                  <w:color w:val="1155cc"/>
                  <w:highlight w:val="white"/>
                  <w:u w:val="single"/>
                  <w:rtl w:val="0"/>
                </w:rPr>
                <w:t xml:space="preserve">https://docs.peppol.eu/poacc/billing/3.0/syntax/ubl-invoice/cac-InvoiceLine/cac-Item/cac-SellersItemIdentification/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u w:val="single"/>
                <w:rtl w:val="0"/>
              </w:rPr>
              <w:t xml:space="preserve">Kontraktsnummer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rtl w:val="0"/>
              </w:rPr>
              <w:t xml:space="preserve">Alle fakturaer skal påføres kontraktsnummer iht EHF standarden.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u w:val="single"/>
                <w:rtl w:val="0"/>
              </w:rPr>
              <w:t xml:space="preserve">Kontraktsnummerets plassering i EHF-filen er "ContractDocumentReference" etter EHF 3.0. Se også: </w:t>
            </w:r>
            <w:hyperlink r:id="rId11">
              <w:r w:rsidDel="00000000" w:rsidR="00000000" w:rsidRPr="00000000">
                <w:rPr>
                  <w:rFonts w:ascii="Calibri" w:cs="Calibri" w:eastAsia="Calibri" w:hAnsi="Calibri"/>
                  <w:b w:val="0"/>
                  <w:bCs w:val="0"/>
                  <w:smallCaps w:val="0"/>
                  <w:color w:val="1155cc"/>
                  <w:highlight w:val="white"/>
                  <w:u w:val="single"/>
                  <w:rtl w:val="0"/>
                </w:rPr>
                <w:t xml:space="preserve">https://docs.peppol.eu/poacc/billing/3.0/syntax/ubl-invoice/cac-ContractDocumentReference/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rtl w:val="0"/>
              </w:rPr>
              <w:t xml:space="preserve">Kontraktsnummer er lik avtalens nummer og vil angis ved kontraktsignering.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mallCaps w:val="0"/>
                <w:rtl w:val="0"/>
              </w:rPr>
              <w:t xml:space="preserve">Avvisning av fakturaer og sanksjoner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rtl w:val="0"/>
              </w:rPr>
              <w:t xml:space="preserve">Fakturaer som ikke følger disse kravene vil kunne bli avvist av kommunen eller at det vil beregnes en kostnad på kr 2,5 % av fakturabeløpet ekskl. mva.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4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mallCaps w:val="0"/>
                <w:rtl w:val="0"/>
              </w:rPr>
              <w:t xml:space="preserve">NS 8402 Pkt 15 Endring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rtl w:val="0"/>
              </w:rPr>
              <w:t xml:space="preserve">Ved avbestilling har rådgiveren krav på erstatning kun for det dokumenterbare økonomiske tap han lider som følge av avbestillingen. Erstatning for tapt fortjeneste dekkes ikke.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rPr>
                <w:rFonts w:ascii="Calibri" w:cs="Calibri" w:eastAsia="Calibri" w:hAnsi="Calibri"/>
              </w:rPr>
            </w:pPr>
            <w:bookmarkStart w:colFirst="0" w:colLast="0" w:name="_e920tc1jl786" w:id="2"/>
            <w:bookmarkEnd w:id="2"/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smallCaps w:val="0"/>
                <w:rtl w:val="0"/>
              </w:rPr>
              <w:t xml:space="preserve">Prosjektmateriale som er betalt, har oppdragsgiver rett til å bruke i samsvar med reglene i punkt 5.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12" w:type="default"/>
      <w:headerReference r:id="rId13" w:type="first"/>
      <w:headerReference r:id="rId14" w:type="even"/>
      <w:footerReference r:id="rId15" w:type="default"/>
      <w:footerReference r:id="rId16" w:type="first"/>
      <w:footerReference r:id="rId17" w:type="even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Versjon 2024-03-27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f2f2f2" w:val="clear"/>
        <w:vAlign w:val="top"/>
      </w:tcPr>
    </w:tblStylePr>
    <w:tblStylePr w:type="band1Vert">
      <w:tcPr>
        <w:shd w:fill="f2f2f2" w:val="clear"/>
        <w:vAlign w:val="top"/>
      </w:tcPr>
    </w:tblStylePr>
    <w:tblStylePr w:type="band2Horz">
      <w:tcPr/>
    </w:tblStylePr>
    <w:tblStylePr w:type="band2Vert">
      <w:tcPr/>
    </w:tblStylePr>
    <w:tblStylePr w:type="firstCol">
      <w:rPr>
        <w:b w:val="1"/>
        <w:bCs w:val="1"/>
        <w:smallCaps w:val="1"/>
      </w:rPr>
      <w:tcPr>
        <w:vAlign w:val="top"/>
      </w:tcPr>
    </w:tblStylePr>
    <w:tblStylePr w:type="firstRow">
      <w:rPr>
        <w:b w:val="1"/>
        <w:bCs w:val="1"/>
        <w:smallCaps w:val="1"/>
      </w:rPr>
      <w:tcPr>
        <w:vAlign w:val="top"/>
      </w:tcPr>
    </w:tblStylePr>
    <w:tblStylePr w:type="lastCol">
      <w:rPr>
        <w:b w:val="1"/>
        <w:bCs w:val="1"/>
        <w:smallCaps w:val="1"/>
      </w:rPr>
      <w:tcPr>
        <w:vAlign w:val="top"/>
      </w:tcPr>
    </w:tblStylePr>
    <w:tblStylePr w:type="lastRow">
      <w:rPr>
        <w:b w:val="1"/>
        <w:bCs w:val="1"/>
        <w:smallCaps w:val="1"/>
      </w:rPr>
      <w:tcPr>
        <w:vAlign w:val="top"/>
      </w:tcPr>
    </w:tblStylePr>
    <w:tblStylePr w:type="neCell">
      <w:tcPr>
        <w:vAlign w:val="top"/>
      </w:tcPr>
    </w:tblStylePr>
    <w:tblStylePr w:type="nwCell">
      <w:tcPr>
        <w:vAlign w:val="top"/>
      </w:tcPr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docs.peppol.eu/poacc/billing/3.0/syntax/ubl-invoice/cac-ContractDocumentReference/" TargetMode="External"/><Relationship Id="rId10" Type="http://schemas.openxmlformats.org/officeDocument/2006/relationships/hyperlink" Target="https://docs.peppol.eu/poacc/billing/3.0/syntax/ubl-invoice/cac-InvoiceLine/cac-Item/cac-SellersItemIdentification/" TargetMode="External"/><Relationship Id="rId13" Type="http://schemas.openxmlformats.org/officeDocument/2006/relationships/header" Target="header2.xml"/><Relationship Id="rId12" Type="http://schemas.openxmlformats.org/officeDocument/2006/relationships/header" Target="head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ocs.peppol.eu/poacc/billing/3.0/syntax/ubl-invoice/cac-InvoiceLine/cbc-Note/" TargetMode="External"/><Relationship Id="rId15" Type="http://schemas.openxmlformats.org/officeDocument/2006/relationships/footer" Target="footer1.xml"/><Relationship Id="rId14" Type="http://schemas.openxmlformats.org/officeDocument/2006/relationships/header" Target="header3.xml"/><Relationship Id="rId17" Type="http://schemas.openxmlformats.org/officeDocument/2006/relationships/footer" Target="footer3.xml"/><Relationship Id="rId16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yperlink" Target="https://docs.peppol.eu/poacc/billing/3.0/syntax/ubl-invoice/cbc-BuyerReference/" TargetMode="External"/><Relationship Id="rId7" Type="http://schemas.openxmlformats.org/officeDocument/2006/relationships/hyperlink" Target="https://docs.peppol.eu/poacc/billing/3.0/syntax/ubl-invoice/cac-OrderReference/" TargetMode="External"/><Relationship Id="rId8" Type="http://schemas.openxmlformats.org/officeDocument/2006/relationships/hyperlink" Target="https://docs.peppol.eu/poacc/billing/3.0/syntax/ubl-invoice/cbc-Not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